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1A2DE">
      <w:pPr>
        <w:pStyle w:val="7"/>
        <w:snapToGrid w:val="0"/>
        <w:spacing w:line="360" w:lineRule="auto"/>
        <w:jc w:val="left"/>
        <w:rPr>
          <w:rFonts w:hint="eastAsia" w:ascii="宋体" w:hAnsi="宋体" w:eastAsia="宋体"/>
          <w:sz w:val="24"/>
          <w:szCs w:val="24"/>
          <w:u w:val="none"/>
          <w:lang w:val="en-US" w:eastAsia="zh-CN"/>
        </w:rPr>
      </w:pPr>
      <w:r>
        <w:rPr>
          <w:rFonts w:hint="eastAsia" w:ascii="宋体" w:hAnsi="宋体" w:eastAsia="宋体"/>
          <w:sz w:val="24"/>
          <w:szCs w:val="24"/>
        </w:rPr>
        <w:t>附件一：</w:t>
      </w:r>
      <w:r>
        <w:rPr>
          <w:rFonts w:hint="eastAsia" w:ascii="宋体" w:hAnsi="宋体" w:eastAsia="宋体"/>
          <w:sz w:val="24"/>
          <w:szCs w:val="24"/>
          <w:u w:val="none"/>
          <w:lang w:val="en-US" w:eastAsia="zh-CN"/>
        </w:rPr>
        <w:t>招标公告附表</w:t>
      </w:r>
    </w:p>
    <w:tbl>
      <w:tblPr>
        <w:tblStyle w:val="16"/>
        <w:tblW w:w="11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
        <w:gridCol w:w="805"/>
        <w:gridCol w:w="804"/>
        <w:gridCol w:w="505"/>
        <w:gridCol w:w="450"/>
        <w:gridCol w:w="1023"/>
        <w:gridCol w:w="600"/>
        <w:gridCol w:w="954"/>
        <w:gridCol w:w="764"/>
        <w:gridCol w:w="3586"/>
        <w:gridCol w:w="682"/>
        <w:gridCol w:w="682"/>
      </w:tblGrid>
      <w:tr w14:paraId="6105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blHeader/>
          <w:jc w:val="center"/>
        </w:trPr>
        <w:tc>
          <w:tcPr>
            <w:tcW w:w="398" w:type="dxa"/>
            <w:vAlign w:val="center"/>
          </w:tcPr>
          <w:p w14:paraId="57131C0F">
            <w:pPr>
              <w:jc w:val="center"/>
              <w:rPr>
                <w:rFonts w:hint="default"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标段号</w:t>
            </w:r>
          </w:p>
        </w:tc>
        <w:tc>
          <w:tcPr>
            <w:tcW w:w="805" w:type="dxa"/>
            <w:vAlign w:val="center"/>
          </w:tcPr>
          <w:p w14:paraId="7006CB84">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标段名称</w:t>
            </w:r>
          </w:p>
        </w:tc>
        <w:tc>
          <w:tcPr>
            <w:tcW w:w="804" w:type="dxa"/>
            <w:vAlign w:val="center"/>
          </w:tcPr>
          <w:p w14:paraId="0389EF5D">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服务内容</w:t>
            </w:r>
          </w:p>
        </w:tc>
        <w:tc>
          <w:tcPr>
            <w:tcW w:w="505" w:type="dxa"/>
            <w:vAlign w:val="center"/>
          </w:tcPr>
          <w:p w14:paraId="4D50F92F">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单位</w:t>
            </w:r>
          </w:p>
        </w:tc>
        <w:tc>
          <w:tcPr>
            <w:tcW w:w="450" w:type="dxa"/>
            <w:vAlign w:val="center"/>
          </w:tcPr>
          <w:p w14:paraId="6D7AA445">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数量</w:t>
            </w:r>
          </w:p>
        </w:tc>
        <w:tc>
          <w:tcPr>
            <w:tcW w:w="1023" w:type="dxa"/>
            <w:vAlign w:val="center"/>
          </w:tcPr>
          <w:p w14:paraId="7EFC94A9">
            <w:pPr>
              <w:jc w:val="center"/>
              <w:rPr>
                <w:rFonts w:hint="eastAsia" w:asciiTheme="majorEastAsia" w:hAnsiTheme="majorEastAsia" w:eastAsiaTheme="majorEastAsia" w:cstheme="majorEastAsia"/>
                <w:b/>
                <w:bCs w:val="0"/>
                <w:sz w:val="18"/>
                <w:szCs w:val="18"/>
                <w:highlight w:val="none"/>
                <w:vertAlign w:val="baseline"/>
                <w:lang w:val="en-US" w:eastAsia="zh-CN"/>
              </w:rPr>
            </w:pPr>
            <w:r>
              <w:rPr>
                <w:rFonts w:hint="eastAsia" w:asciiTheme="majorEastAsia" w:hAnsiTheme="majorEastAsia" w:eastAsiaTheme="majorEastAsia" w:cstheme="majorEastAsia"/>
                <w:b/>
                <w:bCs w:val="0"/>
                <w:sz w:val="18"/>
                <w:szCs w:val="18"/>
                <w:highlight w:val="none"/>
                <w:vertAlign w:val="baseline"/>
                <w:lang w:val="en-US" w:eastAsia="zh-CN"/>
              </w:rPr>
              <w:t>标段预估金额（万元）</w:t>
            </w:r>
          </w:p>
        </w:tc>
        <w:tc>
          <w:tcPr>
            <w:tcW w:w="600" w:type="dxa"/>
            <w:vAlign w:val="center"/>
          </w:tcPr>
          <w:p w14:paraId="676D671F">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报价方式</w:t>
            </w:r>
          </w:p>
        </w:tc>
        <w:tc>
          <w:tcPr>
            <w:tcW w:w="954" w:type="dxa"/>
            <w:vAlign w:val="center"/>
          </w:tcPr>
          <w:p w14:paraId="6C2E0291">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最高限价（%）</w:t>
            </w:r>
          </w:p>
        </w:tc>
        <w:tc>
          <w:tcPr>
            <w:tcW w:w="764" w:type="dxa"/>
            <w:vAlign w:val="center"/>
          </w:tcPr>
          <w:p w14:paraId="28B68B9A">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服务期</w:t>
            </w:r>
          </w:p>
        </w:tc>
        <w:tc>
          <w:tcPr>
            <w:tcW w:w="3586" w:type="dxa"/>
            <w:vAlign w:val="center"/>
          </w:tcPr>
          <w:p w14:paraId="4B6C418F">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专用资格要求</w:t>
            </w:r>
          </w:p>
        </w:tc>
        <w:tc>
          <w:tcPr>
            <w:tcW w:w="682" w:type="dxa"/>
            <w:vAlign w:val="center"/>
          </w:tcPr>
          <w:p w14:paraId="6043BB99">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服务地点</w:t>
            </w:r>
          </w:p>
        </w:tc>
        <w:tc>
          <w:tcPr>
            <w:tcW w:w="682" w:type="dxa"/>
            <w:vAlign w:val="center"/>
          </w:tcPr>
          <w:p w14:paraId="7AF4ACDB">
            <w:pPr>
              <w:jc w:val="center"/>
              <w:rPr>
                <w:rFonts w:hint="eastAsia" w:asciiTheme="majorEastAsia" w:hAnsiTheme="majorEastAsia" w:eastAsiaTheme="majorEastAsia" w:cstheme="majorEastAsia"/>
                <w:b/>
                <w:bCs w:val="0"/>
                <w:sz w:val="18"/>
                <w:szCs w:val="18"/>
                <w:vertAlign w:val="baseline"/>
                <w:lang w:val="en-US" w:eastAsia="zh-CN"/>
              </w:rPr>
            </w:pPr>
            <w:r>
              <w:rPr>
                <w:rFonts w:hint="eastAsia" w:asciiTheme="majorEastAsia" w:hAnsiTheme="majorEastAsia" w:eastAsiaTheme="majorEastAsia" w:cstheme="majorEastAsia"/>
                <w:b/>
                <w:bCs w:val="0"/>
                <w:sz w:val="18"/>
                <w:szCs w:val="18"/>
                <w:vertAlign w:val="baseline"/>
                <w:lang w:val="en-US" w:eastAsia="zh-CN"/>
              </w:rPr>
              <w:t>入围家数</w:t>
            </w:r>
          </w:p>
        </w:tc>
      </w:tr>
      <w:tr w14:paraId="3B53A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blHeader/>
          <w:jc w:val="center"/>
        </w:trPr>
        <w:tc>
          <w:tcPr>
            <w:tcW w:w="398" w:type="dxa"/>
            <w:vAlign w:val="center"/>
          </w:tcPr>
          <w:p w14:paraId="1D0593E4">
            <w:pPr>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3</w:t>
            </w:r>
          </w:p>
        </w:tc>
        <w:tc>
          <w:tcPr>
            <w:tcW w:w="805" w:type="dxa"/>
            <w:vAlign w:val="center"/>
          </w:tcPr>
          <w:p w14:paraId="15FF6CC9">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包头供电公司2025年营业站房屋检修</w:t>
            </w:r>
          </w:p>
        </w:tc>
        <w:tc>
          <w:tcPr>
            <w:tcW w:w="804" w:type="dxa"/>
            <w:vAlign w:val="center"/>
          </w:tcPr>
          <w:p w14:paraId="1ADAA1C1">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包头供电公司2025年营业站房屋检修</w:t>
            </w:r>
          </w:p>
        </w:tc>
        <w:tc>
          <w:tcPr>
            <w:tcW w:w="505" w:type="dxa"/>
            <w:vAlign w:val="center"/>
          </w:tcPr>
          <w:p w14:paraId="5F429C8F">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项</w:t>
            </w:r>
          </w:p>
        </w:tc>
        <w:tc>
          <w:tcPr>
            <w:tcW w:w="450" w:type="dxa"/>
            <w:vAlign w:val="center"/>
          </w:tcPr>
          <w:p w14:paraId="41B7DBB5">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w:t>
            </w:r>
          </w:p>
        </w:tc>
        <w:tc>
          <w:tcPr>
            <w:tcW w:w="1023" w:type="dxa"/>
            <w:vAlign w:val="center"/>
          </w:tcPr>
          <w:p w14:paraId="3C7FF0CB">
            <w:pPr>
              <w:spacing w:line="240" w:lineRule="auto"/>
              <w:jc w:val="center"/>
              <w:rPr>
                <w:rFonts w:hint="eastAsia" w:asciiTheme="majorEastAsia" w:hAnsiTheme="majorEastAsia" w:eastAsiaTheme="majorEastAsia" w:cstheme="majorEastAsia"/>
                <w:b w:val="0"/>
                <w:bCs/>
                <w:sz w:val="18"/>
                <w:szCs w:val="18"/>
                <w:highlight w:val="none"/>
                <w:vertAlign w:val="baseline"/>
                <w:lang w:val="en-US" w:eastAsia="zh-CN"/>
              </w:rPr>
            </w:pPr>
            <w:r>
              <w:rPr>
                <w:rFonts w:hint="eastAsia" w:ascii="宋体" w:hAnsi="宋体" w:eastAsia="宋体" w:cs="宋体"/>
                <w:i w:val="0"/>
                <w:iCs w:val="0"/>
                <w:color w:val="000000"/>
                <w:sz w:val="18"/>
                <w:szCs w:val="18"/>
                <w:u w:val="none"/>
                <w:lang w:val="en-US" w:eastAsia="zh-CN"/>
              </w:rPr>
              <w:t>24.2</w:t>
            </w:r>
          </w:p>
        </w:tc>
        <w:tc>
          <w:tcPr>
            <w:tcW w:w="600" w:type="dxa"/>
            <w:vAlign w:val="center"/>
          </w:tcPr>
          <w:p w14:paraId="15CDDE28">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费率</w:t>
            </w:r>
          </w:p>
        </w:tc>
        <w:tc>
          <w:tcPr>
            <w:tcW w:w="954" w:type="dxa"/>
            <w:vAlign w:val="center"/>
          </w:tcPr>
          <w:p w14:paraId="075B3F7C">
            <w:pPr>
              <w:spacing w:line="240" w:lineRule="auto"/>
              <w:jc w:val="center"/>
              <w:rPr>
                <w:rFonts w:hint="eastAsia" w:asciiTheme="majorEastAsia" w:hAnsiTheme="majorEastAsia" w:eastAsiaTheme="majorEastAsia" w:cstheme="majorEastAsia"/>
                <w:b w:val="0"/>
                <w:bCs/>
                <w:sz w:val="18"/>
                <w:szCs w:val="18"/>
                <w:vertAlign w:val="baseline"/>
                <w:lang w:val="en-US" w:eastAsia="zh-CN"/>
              </w:rPr>
            </w:pPr>
            <w:r>
              <w:rPr>
                <w:rFonts w:hint="eastAsia" w:ascii="宋体" w:hAnsi="宋体" w:eastAsia="宋体" w:cs="宋体"/>
                <w:i w:val="0"/>
                <w:iCs w:val="0"/>
                <w:color w:val="000000"/>
                <w:sz w:val="18"/>
                <w:szCs w:val="18"/>
                <w:u w:val="none"/>
                <w:lang w:val="en-US" w:eastAsia="zh-CN"/>
              </w:rPr>
              <w:t>100%</w:t>
            </w:r>
          </w:p>
        </w:tc>
        <w:tc>
          <w:tcPr>
            <w:tcW w:w="764" w:type="dxa"/>
            <w:vAlign w:val="center"/>
          </w:tcPr>
          <w:p w14:paraId="3771CA4B">
            <w:pPr>
              <w:spacing w:line="240" w:lineRule="auto"/>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框架协议合同签订之日起一年</w:t>
            </w:r>
          </w:p>
        </w:tc>
        <w:tc>
          <w:tcPr>
            <w:tcW w:w="3586" w:type="dxa"/>
            <w:vAlign w:val="center"/>
          </w:tcPr>
          <w:p w14:paraId="61DA0E68">
            <w:pPr>
              <w:spacing w:line="240" w:lineRule="auto"/>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1、投标人须提供建设行政主管部门颁发的施工综合资质或建筑工程施工总承包乙级及以上或建筑装修装饰工程专业承包乙级及以上资质,证书在有效期内；（以上资质为住建部最新资质要求（2020年11月30日建市〔2020〕94号《住房和城乡建设部关于印发建设工程企业资质管理制度改革方案的通知》）。如投标人还未申办以上资质，“投标人须具有建设行政主管部门颁发的施工总承包企业特级资质或建筑工程施工总承包叁级及以上或建筑装修装饰工程专业承包贰级及以上资质,证书在有效期内”。</w:t>
            </w:r>
          </w:p>
        </w:tc>
        <w:tc>
          <w:tcPr>
            <w:tcW w:w="682" w:type="dxa"/>
            <w:vAlign w:val="center"/>
          </w:tcPr>
          <w:p w14:paraId="5FB1ABE9">
            <w:pPr>
              <w:spacing w:line="240" w:lineRule="auto"/>
              <w:jc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sz w:val="18"/>
                <w:szCs w:val="18"/>
                <w:vertAlign w:val="baseline"/>
                <w:lang w:val="en-US" w:eastAsia="zh-CN"/>
              </w:rPr>
              <w:t>招标人指定地点</w:t>
            </w:r>
          </w:p>
        </w:tc>
        <w:tc>
          <w:tcPr>
            <w:tcW w:w="682" w:type="dxa"/>
            <w:vAlign w:val="center"/>
          </w:tcPr>
          <w:p w14:paraId="5DDCF3BB">
            <w:pPr>
              <w:spacing w:line="240" w:lineRule="auto"/>
              <w:jc w:val="center"/>
              <w:rPr>
                <w:rFonts w:hint="default" w:asciiTheme="majorEastAsia" w:hAnsiTheme="majorEastAsia" w:eastAsiaTheme="majorEastAsia" w:cstheme="majorEastAsia"/>
                <w:b w:val="0"/>
                <w:bCs/>
                <w:sz w:val="18"/>
                <w:szCs w:val="18"/>
                <w:vertAlign w:val="baseline"/>
                <w:lang w:val="en-US" w:eastAsia="zh-CN"/>
              </w:rPr>
            </w:pPr>
            <w:r>
              <w:rPr>
                <w:rFonts w:hint="eastAsia" w:asciiTheme="majorEastAsia" w:hAnsiTheme="majorEastAsia" w:eastAsiaTheme="majorEastAsia" w:cstheme="majorEastAsia"/>
                <w:b w:val="0"/>
                <w:bCs/>
                <w:sz w:val="18"/>
                <w:szCs w:val="18"/>
                <w:vertAlign w:val="baseline"/>
                <w:lang w:val="en-US" w:eastAsia="zh-CN"/>
              </w:rPr>
              <w:t>1</w:t>
            </w:r>
          </w:p>
        </w:tc>
      </w:tr>
    </w:tbl>
    <w:p w14:paraId="5B72ED48">
      <w:pPr>
        <w:pStyle w:val="2"/>
        <w:spacing w:line="240" w:lineRule="auto"/>
        <w:ind w:left="0" w:leftChars="0" w:firstLine="0" w:firstLineChars="0"/>
        <w:rPr>
          <w:rFonts w:hint="default"/>
          <w:lang w:val="en-US" w:eastAsia="zh-CN"/>
        </w:rPr>
      </w:pPr>
    </w:p>
    <w:p w14:paraId="28AD1B86">
      <w:pPr>
        <w:keepNext w:val="0"/>
        <w:keepLines w:val="0"/>
        <w:pageBreakBefore w:val="0"/>
        <w:widowControl/>
        <w:kinsoku/>
        <w:wordWrap/>
        <w:overflowPunct/>
        <w:topLinePunct w:val="0"/>
        <w:autoSpaceDE/>
        <w:autoSpaceDN/>
        <w:bidi w:val="0"/>
        <w:adjustRightInd w:val="0"/>
        <w:snapToGrid w:val="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本项目为费率报价；中标价=基准价*中标费率，例如中标费率为90%，按基准价得出的实际工作量为70000元，则合同价70000*90%=63000元。</w:t>
      </w:r>
    </w:p>
    <w:p w14:paraId="54EAB097">
      <w:pPr>
        <w:pStyle w:val="7"/>
        <w:snapToGrid w:val="0"/>
        <w:spacing w:line="240" w:lineRule="auto"/>
        <w:jc w:val="center"/>
        <w:rPr>
          <w:rFonts w:hint="eastAsia" w:ascii="宋体" w:hAnsi="宋体"/>
          <w:sz w:val="24"/>
          <w:szCs w:val="24"/>
          <w:lang w:val="en-US" w:eastAsia="zh-CN"/>
        </w:rPr>
      </w:pPr>
    </w:p>
    <w:p w14:paraId="686EA774">
      <w:pPr>
        <w:pStyle w:val="7"/>
        <w:snapToGrid w:val="0"/>
        <w:spacing w:line="240" w:lineRule="auto"/>
        <w:jc w:val="center"/>
        <w:rPr>
          <w:rFonts w:hint="eastAsia" w:ascii="宋体" w:hAnsi="宋体"/>
          <w:sz w:val="24"/>
          <w:szCs w:val="24"/>
          <w:lang w:val="en-US" w:eastAsia="zh-CN"/>
        </w:rPr>
      </w:pPr>
    </w:p>
    <w:p w14:paraId="4FD2FB61">
      <w:pPr>
        <w:pStyle w:val="2"/>
        <w:ind w:left="0" w:leftChars="0" w:firstLine="0" w:firstLineChars="0"/>
        <w:rPr>
          <w:sz w:val="21"/>
          <w:szCs w:val="21"/>
        </w:rPr>
      </w:pPr>
      <w:bookmarkStart w:id="0" w:name="_GoBack"/>
      <w:bookmarkEnd w:id="0"/>
    </w:p>
    <w:sectPr>
      <w:footerReference r:id="rId5" w:type="default"/>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G Times">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DA4AE">
    <w:pPr>
      <w:pStyle w:val="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784533"/>
    <w:rsid w:val="0003349B"/>
    <w:rsid w:val="0124272A"/>
    <w:rsid w:val="01D6155C"/>
    <w:rsid w:val="02D74B40"/>
    <w:rsid w:val="03F04AFA"/>
    <w:rsid w:val="06717EBC"/>
    <w:rsid w:val="08217FA4"/>
    <w:rsid w:val="08711187"/>
    <w:rsid w:val="0A6767AA"/>
    <w:rsid w:val="0BCC11C3"/>
    <w:rsid w:val="0BED0F30"/>
    <w:rsid w:val="10136DD4"/>
    <w:rsid w:val="116F12D7"/>
    <w:rsid w:val="12D70244"/>
    <w:rsid w:val="140C2DA7"/>
    <w:rsid w:val="14795146"/>
    <w:rsid w:val="162C5C74"/>
    <w:rsid w:val="16AF0E7C"/>
    <w:rsid w:val="16EE48B3"/>
    <w:rsid w:val="18233EF2"/>
    <w:rsid w:val="18593B8F"/>
    <w:rsid w:val="1976112C"/>
    <w:rsid w:val="1A934F41"/>
    <w:rsid w:val="1BE20386"/>
    <w:rsid w:val="1CCE2A66"/>
    <w:rsid w:val="1FA3607E"/>
    <w:rsid w:val="228E6F11"/>
    <w:rsid w:val="23AB022F"/>
    <w:rsid w:val="23B44B2C"/>
    <w:rsid w:val="25635FCF"/>
    <w:rsid w:val="266359AA"/>
    <w:rsid w:val="27C06ECE"/>
    <w:rsid w:val="29237151"/>
    <w:rsid w:val="2B9331D9"/>
    <w:rsid w:val="2C5A2AED"/>
    <w:rsid w:val="2D2E0233"/>
    <w:rsid w:val="2E542FDB"/>
    <w:rsid w:val="2EC60895"/>
    <w:rsid w:val="2FD63F22"/>
    <w:rsid w:val="301307D9"/>
    <w:rsid w:val="316C2E71"/>
    <w:rsid w:val="35936F98"/>
    <w:rsid w:val="36030F98"/>
    <w:rsid w:val="38342582"/>
    <w:rsid w:val="3BFA097C"/>
    <w:rsid w:val="3E5F6A09"/>
    <w:rsid w:val="407927B7"/>
    <w:rsid w:val="41EC3710"/>
    <w:rsid w:val="43811983"/>
    <w:rsid w:val="4430408D"/>
    <w:rsid w:val="45730AF9"/>
    <w:rsid w:val="45D27C53"/>
    <w:rsid w:val="472C4F7A"/>
    <w:rsid w:val="47632377"/>
    <w:rsid w:val="48074380"/>
    <w:rsid w:val="482975F5"/>
    <w:rsid w:val="484E4DAF"/>
    <w:rsid w:val="490B64E6"/>
    <w:rsid w:val="491A38BA"/>
    <w:rsid w:val="4B412124"/>
    <w:rsid w:val="4CC50B32"/>
    <w:rsid w:val="4D357A66"/>
    <w:rsid w:val="4F370E0D"/>
    <w:rsid w:val="50784533"/>
    <w:rsid w:val="518176DB"/>
    <w:rsid w:val="51AB479B"/>
    <w:rsid w:val="52E70521"/>
    <w:rsid w:val="53192AD0"/>
    <w:rsid w:val="543D1818"/>
    <w:rsid w:val="54EB1352"/>
    <w:rsid w:val="56152E93"/>
    <w:rsid w:val="57D566CC"/>
    <w:rsid w:val="594A4899"/>
    <w:rsid w:val="59B47F65"/>
    <w:rsid w:val="5A7E6A97"/>
    <w:rsid w:val="60535CFF"/>
    <w:rsid w:val="61314591"/>
    <w:rsid w:val="61994610"/>
    <w:rsid w:val="62917095"/>
    <w:rsid w:val="64F144DB"/>
    <w:rsid w:val="655E14F4"/>
    <w:rsid w:val="66573387"/>
    <w:rsid w:val="66F05688"/>
    <w:rsid w:val="67F21A05"/>
    <w:rsid w:val="69252556"/>
    <w:rsid w:val="6BE74E0C"/>
    <w:rsid w:val="6D0140C9"/>
    <w:rsid w:val="6D254FA9"/>
    <w:rsid w:val="6E570631"/>
    <w:rsid w:val="6F7206AD"/>
    <w:rsid w:val="6FFD43AC"/>
    <w:rsid w:val="73FB2F08"/>
    <w:rsid w:val="73FC27DC"/>
    <w:rsid w:val="77BA135C"/>
    <w:rsid w:val="7AC21532"/>
    <w:rsid w:val="7F0A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spacing w:after="120"/>
      <w:ind w:left="420" w:leftChars="200" w:firstLine="420" w:firstLineChars="200"/>
      <w:textAlignment w:val="baseline"/>
    </w:pPr>
  </w:style>
  <w:style w:type="paragraph" w:customStyle="1" w:styleId="3">
    <w:name w:val="BodyTextIndent"/>
    <w:basedOn w:val="1"/>
    <w:qFormat/>
    <w:uiPriority w:val="0"/>
    <w:pPr>
      <w:snapToGrid w:val="0"/>
      <w:spacing w:line="500" w:lineRule="atLeast"/>
      <w:ind w:firstLine="480"/>
    </w:pPr>
    <w:rPr>
      <w:rFonts w:ascii="宋体" w:hAnsi="CG Times"/>
      <w:sz w:val="24"/>
      <w:lang w:val="zh-CN"/>
    </w:rPr>
  </w:style>
  <w:style w:type="paragraph" w:styleId="4">
    <w:name w:val="Normal Indent"/>
    <w:basedOn w:val="1"/>
    <w:next w:val="1"/>
    <w:qFormat/>
    <w:uiPriority w:val="99"/>
    <w:pPr>
      <w:spacing w:line="360" w:lineRule="auto"/>
      <w:ind w:firstLine="200" w:firstLineChars="200"/>
    </w:pPr>
    <w:rPr>
      <w:rFonts w:eastAsia="仿宋_GB2312"/>
      <w:szCs w:val="24"/>
    </w:rPr>
  </w:style>
  <w:style w:type="paragraph" w:styleId="5">
    <w:name w:val="Body Text"/>
    <w:basedOn w:val="1"/>
    <w:qFormat/>
    <w:uiPriority w:val="0"/>
    <w:pPr>
      <w:widowControl w:val="0"/>
      <w:adjustRightInd/>
      <w:snapToGrid/>
      <w:spacing w:after="0" w:line="760" w:lineRule="exact"/>
      <w:jc w:val="center"/>
    </w:pPr>
    <w:rPr>
      <w:rFonts w:ascii="宋体" w:hAnsi="宋体" w:eastAsia="黑体" w:cs="Times New Roman"/>
      <w:b/>
      <w:bCs/>
      <w:spacing w:val="40"/>
      <w:w w:val="110"/>
      <w:sz w:val="44"/>
      <w:szCs w:val="24"/>
    </w:rPr>
  </w:style>
  <w:style w:type="paragraph" w:styleId="6">
    <w:name w:val="Body Text Indent"/>
    <w:basedOn w:val="1"/>
    <w:qFormat/>
    <w:uiPriority w:val="0"/>
    <w:pPr>
      <w:widowControl w:val="0"/>
      <w:adjustRightInd/>
      <w:spacing w:after="0" w:line="500" w:lineRule="exact"/>
      <w:ind w:firstLine="1733"/>
      <w:jc w:val="center"/>
    </w:pPr>
    <w:rPr>
      <w:rFonts w:ascii="Times New Roman" w:hAnsi="Times New Roman" w:eastAsia="宋体" w:cs="Times New Roman"/>
      <w:b/>
      <w:sz w:val="44"/>
      <w:szCs w:val="24"/>
    </w:rPr>
  </w:style>
  <w:style w:type="paragraph" w:styleId="7">
    <w:name w:val="Plain Text"/>
    <w:basedOn w:val="1"/>
    <w:qFormat/>
    <w:uiPriority w:val="0"/>
    <w:pPr>
      <w:widowControl w:val="0"/>
      <w:adjustRightInd/>
      <w:snapToGrid/>
      <w:spacing w:after="0"/>
      <w:jc w:val="both"/>
    </w:pPr>
    <w:rPr>
      <w:rFonts w:ascii="宋体" w:hAnsi="Courier New" w:eastAsia="宋体"/>
      <w:kern w:val="2"/>
      <w:sz w:val="21"/>
    </w:rPr>
  </w:style>
  <w:style w:type="paragraph" w:styleId="8">
    <w:name w:val="footer"/>
    <w:basedOn w:val="1"/>
    <w:unhideWhenUsed/>
    <w:qFormat/>
    <w:uiPriority w:val="0"/>
    <w:pPr>
      <w:tabs>
        <w:tab w:val="center" w:pos="4153"/>
        <w:tab w:val="right" w:pos="8306"/>
      </w:tabs>
    </w:pPr>
    <w:rPr>
      <w:sz w:val="18"/>
      <w:szCs w:val="18"/>
    </w:rPr>
  </w:style>
  <w:style w:type="paragraph" w:styleId="9">
    <w:name w:val="header"/>
    <w:basedOn w:val="1"/>
    <w:qFormat/>
    <w:uiPriority w:val="0"/>
    <w:pPr>
      <w:tabs>
        <w:tab w:val="center" w:pos="4153"/>
        <w:tab w:val="right" w:pos="8306"/>
      </w:tabs>
      <w:snapToGrid w:val="0"/>
    </w:pPr>
    <w:rPr>
      <w:rFonts w:ascii="Times New Roman" w:hAnsi="Times New Roman"/>
      <w:sz w:val="18"/>
      <w:szCs w:val="20"/>
    </w:rPr>
  </w:style>
  <w:style w:type="paragraph" w:styleId="10">
    <w:name w:val="List"/>
    <w:basedOn w:val="1"/>
    <w:qFormat/>
    <w:uiPriority w:val="0"/>
    <w:pPr>
      <w:ind w:left="200" w:hanging="200" w:hangingChars="200"/>
      <w:contextualSpacing/>
    </w:pPr>
  </w:style>
  <w:style w:type="paragraph" w:styleId="11">
    <w:name w:val="toc 2"/>
    <w:basedOn w:val="1"/>
    <w:next w:val="1"/>
    <w:unhideWhenUsed/>
    <w:qFormat/>
    <w:uiPriority w:val="0"/>
    <w:pPr>
      <w:ind w:left="420" w:leftChars="200"/>
    </w:pPr>
  </w:style>
  <w:style w:type="paragraph" w:styleId="12">
    <w:name w:val="Body Text First Indent"/>
    <w:basedOn w:val="5"/>
    <w:next w:val="1"/>
    <w:qFormat/>
    <w:uiPriority w:val="0"/>
    <w:pPr>
      <w:spacing w:line="312" w:lineRule="auto"/>
      <w:ind w:firstLine="420"/>
    </w:pPr>
    <w:rPr>
      <w:rFonts w:ascii="Calibri" w:hAnsi="Calibri" w:cs="Times New Roman"/>
    </w:rPr>
  </w:style>
  <w:style w:type="paragraph" w:styleId="13">
    <w:name w:val="Body Text First Indent 2"/>
    <w:basedOn w:val="6"/>
    <w:next w:val="14"/>
    <w:qFormat/>
    <w:uiPriority w:val="0"/>
    <w:pPr>
      <w:spacing w:before="0" w:after="120" w:line="240" w:lineRule="auto"/>
      <w:ind w:left="420" w:firstLine="210"/>
    </w:pPr>
  </w:style>
  <w:style w:type="paragraph" w:customStyle="1" w:styleId="14">
    <w:name w:val="表格文字"/>
    <w:basedOn w:val="10"/>
    <w:next w:val="1"/>
    <w:autoRedefine/>
    <w:qFormat/>
    <w:uiPriority w:val="0"/>
    <w:pPr>
      <w:spacing w:line="420" w:lineRule="atLeast"/>
    </w:pPr>
    <w:rPr>
      <w:rFonts w:ascii="Times New Roman" w:hAnsi="Times New Roman"/>
      <w:szCs w:val="20"/>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8">
    <w:name w:val="无间隔1"/>
    <w:qFormat/>
    <w:uiPriority w:val="99"/>
    <w:rPr>
      <w:rFonts w:ascii="Times New Roman" w:hAnsi="Times New Roman" w:eastAsia="宋体" w:cs="Times New Roman"/>
      <w:sz w:val="22"/>
      <w:szCs w:val="22"/>
      <w:lang w:val="en-US" w:eastAsia="zh-CN" w:bidi="ar-SA"/>
    </w:rPr>
  </w:style>
  <w:style w:type="paragraph" w:customStyle="1" w:styleId="19">
    <w:name w:val="p16"/>
    <w:basedOn w:val="1"/>
    <w:next w:val="11"/>
    <w:qFormat/>
    <w:uiPriority w:val="0"/>
    <w:pPr>
      <w:widowControl/>
      <w:spacing w:line="400" w:lineRule="atLeas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5306</Words>
  <Characters>5944</Characters>
  <Lines>0</Lines>
  <Paragraphs>0</Paragraphs>
  <TotalTime>49</TotalTime>
  <ScaleCrop>false</ScaleCrop>
  <LinksUpToDate>false</LinksUpToDate>
  <CharactersWithSpaces>5975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2025-03-12T13:08:00Z</dcterms:created>
  <dc:creator>Administrator</dc:creator>
  <cp:lastModifiedBy>浅末年华</cp:lastModifiedBy>
  <cp:lastPrinted>2025-04-02T08:49:00Z</cp:lastPrinted>
  <dcterms:modified xsi:type="dcterms:W3CDTF">2025-04-03T03:33:37Z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E2428B38AA4E44B58E87DEA7BEF2E016_11</vt:lpwstr>
  </property>
  <property fmtid="{D5CDD505-2E9C-101B-9397-08002B2CF9AE}" pid="4" name="KSOTemplateDocerSaveRecord">
    <vt:lpwstr>eyJoZGlkIjoiNzE0NTdjZGQyMTZiY2I5NjJkZmQyZGFjNGU1NGNmOTQiLCJ1c2VySWQiOiIzMDExNTAwNTgifQ==</vt:lpwstr>
  </property>
</Properties>
</file>